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08" w:rsidRDefault="00B3070C" w:rsidP="00B2429B">
      <w:pPr>
        <w:spacing w:after="0"/>
      </w:pPr>
      <w:r>
        <w:rPr>
          <w:noProof/>
          <w:lang w:eastAsia="zh-TW"/>
        </w:rPr>
        <w:pict>
          <v:shapetype id="_x0000_t202" coordsize="21600,21600" o:spt="202" path="m,l,21600r21600,l21600,xe">
            <v:stroke joinstyle="miter"/>
            <v:path gradientshapeok="t" o:connecttype="rect"/>
          </v:shapetype>
          <v:shape id="_x0000_s1035" type="#_x0000_t202" style="position:absolute;margin-left:121.8pt;margin-top:-24pt;width:257.7pt;height:35.25pt;z-index:251671552;mso-width-relative:margin;mso-height-relative:margin">
            <v:textbox>
              <w:txbxContent>
                <w:p w:rsidR="005F2D6E" w:rsidRDefault="005F2D6E">
                  <w:r>
                    <w:t>Name:</w:t>
                  </w:r>
                  <w:r>
                    <w:tab/>
                  </w:r>
                  <w:r>
                    <w:tab/>
                  </w:r>
                  <w:r>
                    <w:tab/>
                  </w:r>
                  <w:r>
                    <w:tab/>
                  </w:r>
                  <w:r>
                    <w:tab/>
                    <w:t>Period:</w:t>
                  </w:r>
                </w:p>
              </w:txbxContent>
            </v:textbox>
          </v:shape>
        </w:pict>
      </w:r>
      <w:r w:rsidR="00B2429B">
        <w:t>Chapter 2-3</w:t>
      </w:r>
    </w:p>
    <w:p w:rsidR="00B2429B" w:rsidRDefault="00B2429B" w:rsidP="00B2429B">
      <w:pPr>
        <w:spacing w:after="0"/>
      </w:pPr>
      <w:r>
        <w:t>Creating a Government the States Could Trust</w:t>
      </w:r>
    </w:p>
    <w:p w:rsidR="00B2429B" w:rsidRDefault="00B2429B" w:rsidP="00B2429B">
      <w:pPr>
        <w:spacing w:after="0"/>
      </w:pPr>
    </w:p>
    <w:p w:rsidR="00B2429B" w:rsidRPr="00B2429B" w:rsidRDefault="00B2429B" w:rsidP="00B2429B">
      <w:pPr>
        <w:spacing w:after="0"/>
        <w:rPr>
          <w:b/>
        </w:rPr>
      </w:pPr>
      <w:r w:rsidRPr="00B2429B">
        <w:rPr>
          <w:b/>
        </w:rPr>
        <w:t>Directions:</w:t>
      </w:r>
    </w:p>
    <w:p w:rsidR="00B2429B" w:rsidRDefault="00B2429B" w:rsidP="00B2429B">
      <w:pPr>
        <w:spacing w:after="0"/>
        <w:ind w:left="270" w:hanging="270"/>
      </w:pPr>
      <w:r>
        <w:t>1.  Read the following excerpts from the Articles of Confederation.</w:t>
      </w:r>
    </w:p>
    <w:p w:rsidR="00B2429B" w:rsidRDefault="00B2429B" w:rsidP="00B2429B">
      <w:pPr>
        <w:spacing w:after="0"/>
        <w:ind w:left="270" w:hanging="270"/>
      </w:pPr>
      <w:r>
        <w:t>2.  For each excerpt identify advantages and disadvantages resulting from the article.</w:t>
      </w:r>
    </w:p>
    <w:p w:rsidR="00B2429B" w:rsidRDefault="00B2429B" w:rsidP="00B2429B">
      <w:pPr>
        <w:spacing w:after="0"/>
        <w:ind w:left="270" w:hanging="270"/>
      </w:pPr>
      <w:r>
        <w:t>3.  Place these advantages or disadvantages in the proper column of the chart:  State Government or National Government.</w:t>
      </w:r>
    </w:p>
    <w:p w:rsidR="00B2429B" w:rsidRDefault="00B2429B" w:rsidP="00B2429B">
      <w:pPr>
        <w:spacing w:after="0"/>
        <w:ind w:left="270" w:hanging="270"/>
      </w:pPr>
      <w:r>
        <w:t>4.  Compare your lists and check the bock of the government that has the greatest advantage for each excerpt.</w:t>
      </w:r>
    </w:p>
    <w:p w:rsidR="00B2429B" w:rsidRDefault="00B2429B" w:rsidP="00B2429B">
      <w:pPr>
        <w:spacing w:after="0"/>
      </w:pPr>
    </w:p>
    <w:p w:rsidR="00B2429B" w:rsidRPr="00B2429B" w:rsidRDefault="00B2429B" w:rsidP="00B2429B">
      <w:pPr>
        <w:spacing w:after="0"/>
        <w:rPr>
          <w:sz w:val="20"/>
          <w:szCs w:val="20"/>
        </w:rPr>
      </w:pPr>
      <w:r w:rsidRPr="00B2429B">
        <w:rPr>
          <w:sz w:val="20"/>
          <w:szCs w:val="20"/>
        </w:rPr>
        <w:t>From the Articles of Confederation:</w:t>
      </w:r>
    </w:p>
    <w:p w:rsidR="00B2429B" w:rsidRPr="00B2429B" w:rsidRDefault="00B2429B" w:rsidP="00B2429B">
      <w:pPr>
        <w:spacing w:after="0"/>
        <w:rPr>
          <w:sz w:val="20"/>
          <w:szCs w:val="20"/>
        </w:rPr>
      </w:pPr>
    </w:p>
    <w:p w:rsidR="00B2429B" w:rsidRPr="00B2429B" w:rsidRDefault="00B2429B" w:rsidP="00B2429B">
      <w:pPr>
        <w:spacing w:after="0"/>
        <w:ind w:left="270" w:hanging="270"/>
        <w:rPr>
          <w:sz w:val="20"/>
          <w:szCs w:val="20"/>
        </w:rPr>
      </w:pPr>
      <w:r w:rsidRPr="00B2429B">
        <w:rPr>
          <w:b/>
          <w:sz w:val="20"/>
          <w:szCs w:val="20"/>
        </w:rPr>
        <w:t>II.</w:t>
      </w:r>
      <w:r w:rsidRPr="00B2429B">
        <w:rPr>
          <w:sz w:val="20"/>
          <w:szCs w:val="20"/>
        </w:rPr>
        <w:t xml:space="preserve"> Each State retains its sovereignty, freedom, and independence, and every power … which is not by the Confederation expressly delegated to the </w:t>
      </w:r>
      <w:proofErr w:type="gramStart"/>
      <w:r w:rsidRPr="00B2429B">
        <w:rPr>
          <w:sz w:val="20"/>
          <w:szCs w:val="20"/>
        </w:rPr>
        <w:t>united</w:t>
      </w:r>
      <w:proofErr w:type="gramEnd"/>
      <w:r w:rsidRPr="00B2429B">
        <w:rPr>
          <w:sz w:val="20"/>
          <w:szCs w:val="20"/>
        </w:rPr>
        <w:t xml:space="preserve"> States, in Congress assembled.</w:t>
      </w:r>
    </w:p>
    <w:p w:rsidR="00B2429B" w:rsidRPr="00B2429B" w:rsidRDefault="00B2429B" w:rsidP="00B2429B">
      <w:pPr>
        <w:spacing w:after="0"/>
        <w:rPr>
          <w:sz w:val="20"/>
          <w:szCs w:val="20"/>
        </w:rPr>
      </w:pPr>
    </w:p>
    <w:p w:rsidR="00B2429B" w:rsidRPr="00B2429B" w:rsidRDefault="00B2429B" w:rsidP="00B2429B">
      <w:pPr>
        <w:spacing w:after="0"/>
        <w:ind w:left="270" w:hanging="270"/>
        <w:rPr>
          <w:sz w:val="20"/>
          <w:szCs w:val="20"/>
        </w:rPr>
      </w:pPr>
      <w:r w:rsidRPr="00B2429B">
        <w:rPr>
          <w:b/>
          <w:sz w:val="20"/>
          <w:szCs w:val="20"/>
        </w:rPr>
        <w:t>V.</w:t>
      </w:r>
      <w:r w:rsidRPr="00B2429B">
        <w:rPr>
          <w:sz w:val="20"/>
          <w:szCs w:val="20"/>
        </w:rPr>
        <w:t xml:space="preserve"> No State shall be represented in Congress by less than two, nor more than seven members … In determining questions in the </w:t>
      </w:r>
      <w:proofErr w:type="gramStart"/>
      <w:r w:rsidRPr="00B2429B">
        <w:rPr>
          <w:sz w:val="20"/>
          <w:szCs w:val="20"/>
        </w:rPr>
        <w:t>united</w:t>
      </w:r>
      <w:proofErr w:type="gramEnd"/>
      <w:r w:rsidRPr="00B2429B">
        <w:rPr>
          <w:sz w:val="20"/>
          <w:szCs w:val="20"/>
        </w:rPr>
        <w:t xml:space="preserve"> States in Congress assembled, each State shall have one vote.</w:t>
      </w:r>
    </w:p>
    <w:p w:rsidR="00B2429B" w:rsidRPr="00B2429B" w:rsidRDefault="00B2429B" w:rsidP="00B2429B">
      <w:pPr>
        <w:spacing w:after="0"/>
        <w:ind w:left="270" w:hanging="270"/>
        <w:rPr>
          <w:sz w:val="20"/>
          <w:szCs w:val="20"/>
        </w:rPr>
      </w:pPr>
    </w:p>
    <w:p w:rsidR="00B2429B" w:rsidRPr="00B2429B" w:rsidRDefault="00B2429B" w:rsidP="00B2429B">
      <w:pPr>
        <w:spacing w:after="0"/>
        <w:ind w:left="540" w:hanging="540"/>
        <w:rPr>
          <w:sz w:val="20"/>
          <w:szCs w:val="20"/>
        </w:rPr>
      </w:pPr>
      <w:r w:rsidRPr="00B2429B">
        <w:rPr>
          <w:b/>
          <w:sz w:val="20"/>
          <w:szCs w:val="20"/>
        </w:rPr>
        <w:t>VIII.</w:t>
      </w:r>
      <w:r w:rsidRPr="00B2429B">
        <w:rPr>
          <w:sz w:val="20"/>
          <w:szCs w:val="20"/>
        </w:rPr>
        <w:t xml:space="preserve"> All charges of war, and all other expenses that shall be incurred for the common defense or general welfare … shall be defrayed out of a common treasury, which shall be supplied by the several States in proportion to the value of all land within each State … The taxes for paying that proportion shall be laid and levied by the authority and direction of the legislatures of the several States …</w:t>
      </w:r>
    </w:p>
    <w:p w:rsidR="00B2429B" w:rsidRPr="00B2429B" w:rsidRDefault="00B2429B" w:rsidP="00B2429B">
      <w:pPr>
        <w:spacing w:after="0"/>
        <w:ind w:left="540" w:hanging="540"/>
        <w:rPr>
          <w:sz w:val="20"/>
          <w:szCs w:val="20"/>
        </w:rPr>
      </w:pPr>
    </w:p>
    <w:p w:rsidR="00B2429B" w:rsidRPr="00B2429B" w:rsidRDefault="00B2429B" w:rsidP="00AC7B87">
      <w:pPr>
        <w:spacing w:after="0"/>
        <w:ind w:left="360" w:hanging="360"/>
        <w:rPr>
          <w:sz w:val="20"/>
          <w:szCs w:val="20"/>
        </w:rPr>
      </w:pPr>
      <w:r w:rsidRPr="00B2429B">
        <w:rPr>
          <w:b/>
          <w:sz w:val="20"/>
          <w:szCs w:val="20"/>
        </w:rPr>
        <w:t>IX.</w:t>
      </w:r>
      <w:r w:rsidRPr="00B2429B">
        <w:rPr>
          <w:sz w:val="20"/>
          <w:szCs w:val="20"/>
        </w:rPr>
        <w:t xml:space="preserve"> The </w:t>
      </w:r>
      <w:proofErr w:type="gramStart"/>
      <w:r w:rsidRPr="00B2429B">
        <w:rPr>
          <w:sz w:val="20"/>
          <w:szCs w:val="20"/>
        </w:rPr>
        <w:t>united</w:t>
      </w:r>
      <w:proofErr w:type="gramEnd"/>
      <w:r w:rsidRPr="00B2429B">
        <w:rPr>
          <w:sz w:val="20"/>
          <w:szCs w:val="20"/>
        </w:rPr>
        <w:t xml:space="preserve"> States in Congress assembled, shall also be the last resort on appeal in all disputes and differences … between two or more States … </w:t>
      </w:r>
    </w:p>
    <w:p w:rsidR="00B2429B" w:rsidRPr="00B2429B" w:rsidRDefault="00B2429B" w:rsidP="00AC7B87">
      <w:pPr>
        <w:spacing w:after="0"/>
        <w:ind w:left="360"/>
        <w:rPr>
          <w:sz w:val="20"/>
          <w:szCs w:val="20"/>
        </w:rPr>
      </w:pPr>
      <w:r w:rsidRPr="00B2429B">
        <w:rPr>
          <w:sz w:val="20"/>
          <w:szCs w:val="20"/>
        </w:rPr>
        <w:t xml:space="preserve">The </w:t>
      </w:r>
      <w:proofErr w:type="gramStart"/>
      <w:r w:rsidRPr="00B2429B">
        <w:rPr>
          <w:sz w:val="20"/>
          <w:szCs w:val="20"/>
        </w:rPr>
        <w:t>united</w:t>
      </w:r>
      <w:proofErr w:type="gramEnd"/>
      <w:r w:rsidRPr="00B2429B">
        <w:rPr>
          <w:sz w:val="20"/>
          <w:szCs w:val="20"/>
        </w:rPr>
        <w:t xml:space="preserve"> States in Congress assembled shall also have the sole and exclusive right and power of regulating the alloy and value of coin struck by their own authority, or by that of the respective States</w:t>
      </w:r>
    </w:p>
    <w:p w:rsidR="00B2429B" w:rsidRPr="00B2429B" w:rsidRDefault="00B2429B" w:rsidP="00B2429B">
      <w:pPr>
        <w:spacing w:after="0"/>
        <w:ind w:left="540"/>
        <w:rPr>
          <w:sz w:val="20"/>
          <w:szCs w:val="20"/>
        </w:rPr>
      </w:pPr>
    </w:p>
    <w:p w:rsidR="00B2429B" w:rsidRPr="00B2429B" w:rsidRDefault="00B2429B" w:rsidP="00B2429B">
      <w:pPr>
        <w:spacing w:after="0"/>
        <w:ind w:left="540" w:hanging="540"/>
        <w:rPr>
          <w:sz w:val="20"/>
          <w:szCs w:val="20"/>
        </w:rPr>
      </w:pPr>
      <w:r w:rsidRPr="00B2429B">
        <w:rPr>
          <w:b/>
          <w:sz w:val="20"/>
          <w:szCs w:val="20"/>
        </w:rPr>
        <w:t>XIII.</w:t>
      </w:r>
      <w:r w:rsidRPr="00B2429B">
        <w:rPr>
          <w:sz w:val="20"/>
          <w:szCs w:val="20"/>
        </w:rPr>
        <w:t xml:space="preserve"> … nor shall any alteration at any time hereafter be made in any of [these Articles]; unless such alteration be agreed to in a Congress of the </w:t>
      </w:r>
      <w:proofErr w:type="gramStart"/>
      <w:r w:rsidRPr="00B2429B">
        <w:rPr>
          <w:sz w:val="20"/>
          <w:szCs w:val="20"/>
        </w:rPr>
        <w:t>united</w:t>
      </w:r>
      <w:proofErr w:type="gramEnd"/>
      <w:r w:rsidRPr="00B2429B">
        <w:rPr>
          <w:sz w:val="20"/>
          <w:szCs w:val="20"/>
        </w:rPr>
        <w:t xml:space="preserve"> States, and be afterwards confirmed by the legislatures of every State.</w:t>
      </w:r>
    </w:p>
    <w:p w:rsidR="00B2429B" w:rsidRDefault="00B2429B" w:rsidP="00B2429B">
      <w:pPr>
        <w:spacing w:after="0"/>
      </w:pPr>
    </w:p>
    <w:p w:rsidR="00B2429B" w:rsidRDefault="00AC7B87" w:rsidP="00AC7B87">
      <w:pPr>
        <w:spacing w:after="0"/>
        <w:jc w:val="center"/>
      </w:pPr>
      <w:r>
        <w:lastRenderedPageBreak/>
        <w:t>Advantages and Disadvantages</w:t>
      </w:r>
    </w:p>
    <w:p w:rsidR="00AC7B87" w:rsidRDefault="00AC7B87" w:rsidP="00AC7B87">
      <w:pPr>
        <w:spacing w:after="0"/>
        <w:jc w:val="center"/>
      </w:pPr>
    </w:p>
    <w:tbl>
      <w:tblPr>
        <w:tblStyle w:val="TableGrid"/>
        <w:tblW w:w="0" w:type="auto"/>
        <w:tblLook w:val="04A0"/>
      </w:tblPr>
      <w:tblGrid>
        <w:gridCol w:w="3528"/>
        <w:gridCol w:w="3528"/>
      </w:tblGrid>
      <w:tr w:rsidR="00AC7B87" w:rsidTr="00AC7B87">
        <w:tc>
          <w:tcPr>
            <w:tcW w:w="3528" w:type="dxa"/>
          </w:tcPr>
          <w:p w:rsidR="00AC7B87" w:rsidRDefault="00AC7B87" w:rsidP="00AC7B87">
            <w:pPr>
              <w:jc w:val="center"/>
            </w:pPr>
            <w:r>
              <w:t>State Government</w:t>
            </w:r>
          </w:p>
        </w:tc>
        <w:tc>
          <w:tcPr>
            <w:tcW w:w="3528" w:type="dxa"/>
          </w:tcPr>
          <w:p w:rsidR="00AC7B87" w:rsidRDefault="00AC7B87" w:rsidP="00AC7B87">
            <w:pPr>
              <w:jc w:val="center"/>
            </w:pPr>
            <w:r>
              <w:t>National Government</w:t>
            </w:r>
          </w:p>
        </w:tc>
      </w:tr>
      <w:tr w:rsidR="00AC7B87" w:rsidTr="00AC7B87">
        <w:tc>
          <w:tcPr>
            <w:tcW w:w="3528" w:type="dxa"/>
          </w:tcPr>
          <w:p w:rsidR="00AC7B87" w:rsidRDefault="00085D85" w:rsidP="00AC7B87">
            <w:r>
              <w:rPr>
                <w:noProof/>
              </w:rPr>
              <w:drawing>
                <wp:anchor distT="0" distB="0" distL="114300" distR="114300" simplePos="0" relativeHeight="251669504" behindDoc="1" locked="0" layoutInCell="1" allowOverlap="1">
                  <wp:simplePos x="0" y="0"/>
                  <wp:positionH relativeFrom="column">
                    <wp:posOffset>866775</wp:posOffset>
                  </wp:positionH>
                  <wp:positionV relativeFrom="paragraph">
                    <wp:posOffset>6350</wp:posOffset>
                  </wp:positionV>
                  <wp:extent cx="438150" cy="323850"/>
                  <wp:effectExtent l="19050" t="0" r="0" b="0"/>
                  <wp:wrapTight wrapText="bothSides">
                    <wp:wrapPolygon edited="0">
                      <wp:start x="-939" y="0"/>
                      <wp:lineTo x="-939" y="20329"/>
                      <wp:lineTo x="21600" y="20329"/>
                      <wp:lineTo x="21600" y="0"/>
                      <wp:lineTo x="-939" y="0"/>
                    </wp:wrapPolygon>
                  </wp:wrapTight>
                  <wp:docPr id="1" name="Picture 0" descr="check-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bmp"/>
                          <pic:cNvPicPr/>
                        </pic:nvPicPr>
                        <pic:blipFill>
                          <a:blip r:embed="rId5" cstate="print"/>
                          <a:stretch>
                            <a:fillRect/>
                          </a:stretch>
                        </pic:blipFill>
                        <pic:spPr>
                          <a:xfrm>
                            <a:off x="0" y="0"/>
                            <a:ext cx="438150" cy="323850"/>
                          </a:xfrm>
                          <a:prstGeom prst="rect">
                            <a:avLst/>
                          </a:prstGeom>
                        </pic:spPr>
                      </pic:pic>
                    </a:graphicData>
                  </a:graphic>
                </wp:anchor>
              </w:drawing>
            </w:r>
            <w:r w:rsidR="00AC7B87">
              <w:t>II.</w:t>
            </w:r>
          </w:p>
          <w:p w:rsidR="00AC7B87" w:rsidRDefault="00AC7B87" w:rsidP="00AC7B87"/>
          <w:p w:rsidR="00AC7B87" w:rsidRDefault="00085D85" w:rsidP="00AC7B87">
            <w:r>
              <w:t>A – States retain sovereignty and independence.  Retain every power net specifically given to Congress</w:t>
            </w:r>
          </w:p>
          <w:p w:rsidR="00AC7B87" w:rsidRDefault="00AC7B87" w:rsidP="00AC7B87"/>
          <w:p w:rsidR="00AC7B87" w:rsidRDefault="00AC7B87" w:rsidP="00AC7B87"/>
        </w:tc>
        <w:tc>
          <w:tcPr>
            <w:tcW w:w="3528" w:type="dxa"/>
          </w:tcPr>
          <w:p w:rsidR="00085D85" w:rsidRDefault="00B3070C" w:rsidP="00AC7B87">
            <w:r>
              <w:rPr>
                <w:noProof/>
                <w:lang w:eastAsia="zh-TW"/>
              </w:rPr>
              <w:pict>
                <v:shape id="_x0000_s1026" type="#_x0000_t202" style="position:absolute;margin-left:71.1pt;margin-top:5pt;width:19.2pt;height:18.65pt;z-index:251660288;mso-position-horizontal-relative:text;mso-position-vertical-relative:text;mso-width-relative:margin;mso-height-relative:margin">
                  <v:textbox>
                    <w:txbxContent>
                      <w:p w:rsidR="005F2D6E" w:rsidRDefault="005F2D6E"/>
                    </w:txbxContent>
                  </v:textbox>
                </v:shape>
              </w:pict>
            </w:r>
          </w:p>
          <w:p w:rsidR="00AC7B87" w:rsidRDefault="00AC7B87" w:rsidP="00AC7B87"/>
          <w:p w:rsidR="00085D85" w:rsidRDefault="00085D85" w:rsidP="00AC7B87">
            <w:r>
              <w:t>D – Since the States retain independence, Congress could not pass laws governing their behavior</w:t>
            </w:r>
          </w:p>
        </w:tc>
      </w:tr>
      <w:tr w:rsidR="00AC7B87" w:rsidTr="00AC7B87">
        <w:tc>
          <w:tcPr>
            <w:tcW w:w="3528" w:type="dxa"/>
          </w:tcPr>
          <w:p w:rsidR="00AC7B87" w:rsidRDefault="00B3070C" w:rsidP="00AC7B87">
            <w:r>
              <w:rPr>
                <w:noProof/>
              </w:rPr>
              <w:pict>
                <v:shape id="_x0000_s1029" type="#_x0000_t202" style="position:absolute;margin-left:72.75pt;margin-top:5pt;width:19.2pt;height:18.65pt;z-index:251663360;mso-position-horizontal-relative:text;mso-position-vertical-relative:text;mso-width-relative:margin;mso-height-relative:margin">
                  <v:textbox>
                    <w:txbxContent>
                      <w:p w:rsidR="005F2D6E" w:rsidRDefault="005F2D6E" w:rsidP="00AC7B87"/>
                    </w:txbxContent>
                  </v:textbox>
                </v:shape>
              </w:pict>
            </w:r>
            <w:r w:rsidR="00AC7B87">
              <w:t>V.</w:t>
            </w:r>
          </w:p>
          <w:p w:rsidR="00AC7B87" w:rsidRDefault="00AC7B87" w:rsidP="00AC7B87"/>
          <w:p w:rsidR="00AC7B87" w:rsidRDefault="00AC7B87" w:rsidP="00AC7B87"/>
          <w:p w:rsidR="00AC7B87" w:rsidRDefault="00AC7B87" w:rsidP="00AC7B87"/>
          <w:p w:rsidR="00AC7B87" w:rsidRDefault="00AC7B87" w:rsidP="00AC7B87"/>
          <w:p w:rsidR="00AC7B87" w:rsidRDefault="00AC7B87" w:rsidP="00AC7B87"/>
          <w:p w:rsidR="00AC7B87" w:rsidRDefault="00AC7B87" w:rsidP="00AC7B87"/>
          <w:p w:rsidR="00AC7B87" w:rsidRDefault="00AC7B87" w:rsidP="00AC7B87"/>
        </w:tc>
        <w:tc>
          <w:tcPr>
            <w:tcW w:w="3528" w:type="dxa"/>
          </w:tcPr>
          <w:p w:rsidR="00AC7B87" w:rsidRDefault="00B3070C" w:rsidP="00AC7B87">
            <w:r>
              <w:rPr>
                <w:noProof/>
              </w:rPr>
              <w:pict>
                <v:shape id="_x0000_s1027" type="#_x0000_t202" style="position:absolute;margin-left:75.15pt;margin-top:5pt;width:19.2pt;height:18.65pt;z-index:251661312;mso-position-horizontal-relative:text;mso-position-vertical-relative:text;mso-width-relative:margin;mso-height-relative:margin">
                  <v:textbox>
                    <w:txbxContent>
                      <w:p w:rsidR="005F2D6E" w:rsidRDefault="005F2D6E" w:rsidP="00AC7B87"/>
                    </w:txbxContent>
                  </v:textbox>
                </v:shape>
              </w:pict>
            </w:r>
          </w:p>
        </w:tc>
      </w:tr>
      <w:tr w:rsidR="00AC7B87" w:rsidTr="00AC7B87">
        <w:tc>
          <w:tcPr>
            <w:tcW w:w="3528" w:type="dxa"/>
          </w:tcPr>
          <w:p w:rsidR="00AC7B87" w:rsidRDefault="00B3070C" w:rsidP="00AC7B87">
            <w:r>
              <w:rPr>
                <w:noProof/>
              </w:rPr>
              <w:pict>
                <v:shape id="_x0000_s1030" type="#_x0000_t202" style="position:absolute;margin-left:72.75pt;margin-top:6.55pt;width:19.2pt;height:18.65pt;z-index:251664384;mso-position-horizontal-relative:text;mso-position-vertical-relative:text;mso-width-relative:margin;mso-height-relative:margin">
                  <v:textbox>
                    <w:txbxContent>
                      <w:p w:rsidR="005F2D6E" w:rsidRDefault="005F2D6E" w:rsidP="00AC7B87"/>
                    </w:txbxContent>
                  </v:textbox>
                </v:shape>
              </w:pict>
            </w:r>
            <w:r w:rsidR="00AC7B87">
              <w:t>VIII.</w:t>
            </w:r>
          </w:p>
          <w:p w:rsidR="00AC7B87" w:rsidRDefault="00AC7B87" w:rsidP="00AC7B87"/>
          <w:p w:rsidR="00AC7B87" w:rsidRDefault="00AC7B87" w:rsidP="00AC7B87"/>
          <w:p w:rsidR="00AC7B87" w:rsidRDefault="00AC7B87" w:rsidP="00AC7B87"/>
          <w:p w:rsidR="00AC7B87" w:rsidRDefault="00AC7B87" w:rsidP="00AC7B87"/>
          <w:p w:rsidR="00AC7B87" w:rsidRDefault="00AC7B87" w:rsidP="00AC7B87"/>
          <w:p w:rsidR="00AC7B87" w:rsidRDefault="00AC7B87" w:rsidP="00AC7B87"/>
          <w:p w:rsidR="00AC7B87" w:rsidRDefault="00AC7B87" w:rsidP="00AC7B87"/>
        </w:tc>
        <w:tc>
          <w:tcPr>
            <w:tcW w:w="3528" w:type="dxa"/>
          </w:tcPr>
          <w:p w:rsidR="00AC7B87" w:rsidRDefault="00B3070C" w:rsidP="00AC7B87">
            <w:r>
              <w:rPr>
                <w:noProof/>
              </w:rPr>
              <w:pict>
                <v:shape id="_x0000_s1028" type="#_x0000_t202" style="position:absolute;margin-left:75.15pt;margin-top:6.55pt;width:19.2pt;height:18.65pt;z-index:251662336;mso-position-horizontal-relative:text;mso-position-vertical-relative:text;mso-width-relative:margin;mso-height-relative:margin">
                  <v:textbox>
                    <w:txbxContent>
                      <w:p w:rsidR="005F2D6E" w:rsidRDefault="005F2D6E" w:rsidP="00AC7B87"/>
                    </w:txbxContent>
                  </v:textbox>
                </v:shape>
              </w:pict>
            </w:r>
          </w:p>
        </w:tc>
      </w:tr>
      <w:tr w:rsidR="00AC7B87" w:rsidTr="00AC7B87">
        <w:tc>
          <w:tcPr>
            <w:tcW w:w="3528" w:type="dxa"/>
          </w:tcPr>
          <w:p w:rsidR="00AC7B87" w:rsidRDefault="00B3070C" w:rsidP="00AC7B87">
            <w:r>
              <w:rPr>
                <w:noProof/>
              </w:rPr>
              <w:pict>
                <v:shape id="_x0000_s1031" type="#_x0000_t202" style="position:absolute;margin-left:72.75pt;margin-top:4.3pt;width:19.2pt;height:18.65pt;z-index:251665408;mso-position-horizontal-relative:text;mso-position-vertical-relative:text;mso-width-relative:margin;mso-height-relative:margin">
                  <v:textbox>
                    <w:txbxContent>
                      <w:p w:rsidR="005F2D6E" w:rsidRDefault="005F2D6E" w:rsidP="00AC7B87"/>
                    </w:txbxContent>
                  </v:textbox>
                </v:shape>
              </w:pict>
            </w:r>
            <w:r w:rsidR="00AC7B87">
              <w:t>IX.</w:t>
            </w:r>
          </w:p>
          <w:p w:rsidR="00AC7B87" w:rsidRDefault="00AC7B87" w:rsidP="00AC7B87"/>
          <w:p w:rsidR="00AC7B87" w:rsidRDefault="00AC7B87" w:rsidP="00AC7B87"/>
          <w:p w:rsidR="00AC7B87" w:rsidRDefault="00AC7B87" w:rsidP="00AC7B87"/>
          <w:p w:rsidR="00AC7B87" w:rsidRDefault="00AC7B87" w:rsidP="00AC7B87"/>
          <w:p w:rsidR="00AC7B87" w:rsidRDefault="00AC7B87" w:rsidP="00AC7B87"/>
          <w:p w:rsidR="00AC7B87" w:rsidRDefault="00AC7B87" w:rsidP="00AC7B87"/>
        </w:tc>
        <w:tc>
          <w:tcPr>
            <w:tcW w:w="3528" w:type="dxa"/>
          </w:tcPr>
          <w:p w:rsidR="00AC7B87" w:rsidRDefault="00B3070C" w:rsidP="00AC7B87">
            <w:r>
              <w:rPr>
                <w:noProof/>
              </w:rPr>
              <w:pict>
                <v:shape id="_x0000_s1032" type="#_x0000_t202" style="position:absolute;margin-left:75.15pt;margin-top:4.3pt;width:19.2pt;height:18.65pt;z-index:251666432;mso-position-horizontal-relative:text;mso-position-vertical-relative:text;mso-width-relative:margin;mso-height-relative:margin">
                  <v:textbox>
                    <w:txbxContent>
                      <w:p w:rsidR="005F2D6E" w:rsidRDefault="005F2D6E" w:rsidP="00AC7B87"/>
                    </w:txbxContent>
                  </v:textbox>
                </v:shape>
              </w:pict>
            </w:r>
          </w:p>
        </w:tc>
      </w:tr>
      <w:tr w:rsidR="00AC7B87" w:rsidTr="00AC7B87">
        <w:tc>
          <w:tcPr>
            <w:tcW w:w="3528" w:type="dxa"/>
          </w:tcPr>
          <w:p w:rsidR="00AC7B87" w:rsidRDefault="00B3070C" w:rsidP="00AC7B87">
            <w:r>
              <w:rPr>
                <w:noProof/>
              </w:rPr>
              <w:pict>
                <v:shape id="_x0000_s1033" type="#_x0000_t202" style="position:absolute;margin-left:72.75pt;margin-top:3.4pt;width:19.2pt;height:18.65pt;z-index:251667456;mso-position-horizontal-relative:text;mso-position-vertical-relative:text;mso-width-relative:margin;mso-height-relative:margin">
                  <v:textbox>
                    <w:txbxContent>
                      <w:p w:rsidR="005F2D6E" w:rsidRDefault="005F2D6E" w:rsidP="00AC7B87"/>
                    </w:txbxContent>
                  </v:textbox>
                </v:shape>
              </w:pict>
            </w:r>
            <w:r w:rsidR="00AC7B87">
              <w:t>XIII.</w:t>
            </w:r>
          </w:p>
          <w:p w:rsidR="00AC7B87" w:rsidRDefault="00AC7B87" w:rsidP="00AC7B87"/>
          <w:p w:rsidR="00AC7B87" w:rsidRDefault="00AC7B87" w:rsidP="00AC7B87"/>
          <w:p w:rsidR="00AC7B87" w:rsidRDefault="00AC7B87" w:rsidP="00AC7B87"/>
          <w:p w:rsidR="00AC7B87" w:rsidRDefault="00AC7B87" w:rsidP="00AC7B87"/>
          <w:p w:rsidR="00AC7B87" w:rsidRDefault="00AC7B87" w:rsidP="00AC7B87"/>
          <w:p w:rsidR="00AC7B87" w:rsidRDefault="00AC7B87" w:rsidP="00AC7B87"/>
        </w:tc>
        <w:tc>
          <w:tcPr>
            <w:tcW w:w="3528" w:type="dxa"/>
          </w:tcPr>
          <w:p w:rsidR="00AC7B87" w:rsidRDefault="00B3070C" w:rsidP="00AC7B87">
            <w:r>
              <w:rPr>
                <w:noProof/>
              </w:rPr>
              <w:pict>
                <v:shape id="_x0000_s1034" type="#_x0000_t202" style="position:absolute;margin-left:78.9pt;margin-top:3.4pt;width:19.2pt;height:18.65pt;z-index:251668480;mso-position-horizontal-relative:text;mso-position-vertical-relative:text;mso-width-relative:margin;mso-height-relative:margin">
                  <v:textbox>
                    <w:txbxContent>
                      <w:p w:rsidR="005F2D6E" w:rsidRDefault="005F2D6E" w:rsidP="00AC7B87"/>
                    </w:txbxContent>
                  </v:textbox>
                </v:shape>
              </w:pict>
            </w:r>
          </w:p>
        </w:tc>
      </w:tr>
    </w:tbl>
    <w:p w:rsidR="00AC7B87" w:rsidRDefault="00AC7B87" w:rsidP="00AC7B87">
      <w:pPr>
        <w:spacing w:after="0"/>
      </w:pPr>
    </w:p>
    <w:sectPr w:rsidR="00AC7B87" w:rsidSect="00B2429B">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429B"/>
    <w:rsid w:val="00085D85"/>
    <w:rsid w:val="004D0008"/>
    <w:rsid w:val="005F2D6E"/>
    <w:rsid w:val="00AC7B87"/>
    <w:rsid w:val="00B2429B"/>
    <w:rsid w:val="00B3070C"/>
    <w:rsid w:val="00E82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6ABC-7878-457B-8BD2-18D73922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lwhs</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lwhs</dc:creator>
  <cp:keywords/>
  <dc:description/>
  <cp:lastModifiedBy>Owner</cp:lastModifiedBy>
  <cp:revision>2</cp:revision>
  <dcterms:created xsi:type="dcterms:W3CDTF">2011-02-06T21:01:00Z</dcterms:created>
  <dcterms:modified xsi:type="dcterms:W3CDTF">2011-02-06T21:01:00Z</dcterms:modified>
</cp:coreProperties>
</file>